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宋体" w:eastAsia="宋体" w:cs="Times New Roman"/>
          <w:b/>
          <w:bCs/>
          <w:sz w:val="32"/>
          <w:szCs w:val="32"/>
          <w:lang w:val="en-US" w:eastAsia="zh-CN"/>
        </w:rPr>
      </w:pPr>
      <w:bookmarkStart w:id="0" w:name="_Hlk224569574"/>
      <w:bookmarkStart w:id="1" w:name="_Hlk224734739"/>
      <w:r>
        <w:rPr>
          <w:rFonts w:hint="eastAsia" w:ascii="宋体" w:hAnsi="宋体" w:eastAsia="宋体" w:cs="Times New Roman"/>
          <w:b/>
          <w:bCs/>
          <w:sz w:val="32"/>
          <w:szCs w:val="32"/>
          <w:lang w:val="en-US" w:eastAsia="zh-CN"/>
        </w:rPr>
        <w:t>理论类文章长摘要模板</w:t>
      </w:r>
    </w:p>
    <w:p>
      <w:pPr>
        <w:jc w:val="center"/>
        <w:rPr>
          <w:rFonts w:hint="eastAsia" w:ascii="宋体" w:hAnsi="宋体" w:eastAsia="宋体" w:cs="Times New Roman"/>
          <w:b/>
          <w:bCs/>
          <w:sz w:val="32"/>
          <w:szCs w:val="32"/>
        </w:rPr>
      </w:pPr>
      <w:r>
        <w:rPr>
          <w:rFonts w:hint="eastAsia" w:ascii="宋体" w:hAnsi="宋体" w:eastAsia="宋体" w:cs="Times New Roman"/>
          <w:b/>
          <w:bCs/>
          <w:sz w:val="32"/>
          <w:szCs w:val="32"/>
        </w:rPr>
        <w:t>未来产业的技术创新范式、产业组织特征与政策治理逻辑</w:t>
      </w:r>
    </w:p>
    <w:p>
      <w:pPr>
        <w:jc w:val="center"/>
        <w:rPr>
          <w:rFonts w:ascii="宋体" w:hAnsi="宋体" w:eastAsia="宋体" w:cs="Times New Roman"/>
        </w:rPr>
      </w:pPr>
      <w:r>
        <w:rPr>
          <w:rFonts w:hint="eastAsia" w:ascii="宋体" w:hAnsi="宋体" w:eastAsia="宋体" w:cs="Times New Roman"/>
        </w:rPr>
        <w:t>渠慎宁</w:t>
      </w:r>
      <w:r>
        <w:rPr>
          <w:rFonts w:hint="eastAsia" w:ascii="宋体" w:hAnsi="宋体" w:eastAsia="宋体"/>
          <w:szCs w:val="21"/>
          <w:vertAlign w:val="superscript"/>
        </w:rPr>
        <w:t>1</w:t>
      </w:r>
      <w:r>
        <w:rPr>
          <w:rFonts w:hint="eastAsia" w:ascii="宋体" w:hAnsi="宋体" w:eastAsia="宋体" w:cs="Times New Roman"/>
        </w:rPr>
        <w:t>，沈梦檀</w:t>
      </w:r>
      <w:r>
        <w:rPr>
          <w:rFonts w:hint="eastAsia" w:ascii="宋体" w:hAnsi="宋体" w:eastAsia="宋体"/>
          <w:szCs w:val="21"/>
          <w:vertAlign w:val="superscript"/>
        </w:rPr>
        <w:t>2</w:t>
      </w:r>
    </w:p>
    <w:p>
      <w:pPr>
        <w:numPr>
          <w:ilvl w:val="0"/>
          <w:numId w:val="1"/>
        </w:num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中国社会科学院 工业经济研究所，北京</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 xml:space="preserve"> 100006；</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2.中国社会科学院大学 应用经济学院，北京 </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102488）</w:t>
      </w:r>
    </w:p>
    <w:p>
      <w:pPr>
        <w:jc w:val="center"/>
        <w:rPr>
          <w:rFonts w:ascii="宋体" w:hAnsi="宋体" w:eastAsia="宋体" w:cs="宋体"/>
          <w:color w:val="000000"/>
          <w:kern w:val="0"/>
          <w:sz w:val="18"/>
          <w:szCs w:val="18"/>
        </w:rPr>
      </w:pPr>
    </w:p>
    <w:p>
      <w:pPr>
        <w:pStyle w:val="8"/>
        <w:ind w:left="0" w:leftChars="0" w:firstLine="0" w:firstLineChars="0"/>
        <w:rPr>
          <w:rFonts w:hint="eastAsia" w:ascii="宋体" w:hAnsi="宋体" w:eastAsia="宋体" w:cs="宋体"/>
        </w:rPr>
      </w:pPr>
      <w:r>
        <w:rPr>
          <w:rFonts w:hint="eastAsia" w:ascii="宋体" w:hAnsi="宋体" w:eastAsia="宋体" w:cs="宋体"/>
          <w:b/>
          <w:bCs/>
        </w:rPr>
        <w:t>摘  要：</w:t>
      </w:r>
      <w:r>
        <w:rPr>
          <w:rFonts w:hint="eastAsia" w:ascii="宋体" w:hAnsi="宋体" w:eastAsia="宋体" w:cs="宋体"/>
        </w:rPr>
        <w:t>未来产业是以前沿科技突破为基础、以新兴应用场景拓展为依托、以产业形态持续演进为特征的产业发展新方向。随着新一轮科技革命和产业变革深入推进，未来产业逐渐成为推动经济增长方式转变、塑造国家竞争优势和培育新质生产力的重要领域。基于此，本文以未来产业为研究对象，围绕其技术创新、产业组织与政策治理等核心问题展开系统分析，旨在揭示未来产业发展的内在机理及其演化逻辑。研究主要采用理论分析与框架构建相结合的方法，从技术突破、组织重构与治理适配三个维度，构建未来产业分析的整体逻辑体系。</w:t>
      </w:r>
    </w:p>
    <w:p>
      <w:pPr>
        <w:pStyle w:val="8"/>
        <w:ind w:firstLine="420"/>
        <w:rPr>
          <w:rFonts w:ascii="宋体" w:hAnsi="宋体" w:eastAsia="宋体" w:cs="宋体"/>
        </w:rPr>
      </w:pPr>
      <w:r>
        <w:rPr>
          <w:rFonts w:hint="eastAsia" w:ascii="宋体" w:hAnsi="宋体" w:eastAsia="宋体" w:cs="宋体"/>
        </w:rPr>
        <w:t>研究表明，未来产业的发展具有显著的前沿性、不确定性和动态性特征，传统基于成熟产业条件形成的分析范式已难以充分解释其生成机制与演进路径。从技术创新来看，未来产业的发展依赖于基础研究突破、关键技术集成以及多主体协同创新的共同作用，体现出由单点突破向系统协同转变的趋势。从产业组织来看，未来产业在发展过程中呈现核心主体集聚、平台支撑强化、生态协同增强的基本特征，市场竞争方式也由单一产品竞争逐步转向技术、标准、平台与生态体系的综合竞争。从政策治理来看，未来产业发展不仅需要稳定的制度环境和持续的创新支持，也需要在风险分担、资源配置、标准引导和治理协同等方面建立更加前瞻、灵活和系统的政策体系。</w:t>
      </w:r>
    </w:p>
    <w:p>
      <w:pPr>
        <w:pStyle w:val="8"/>
        <w:ind w:firstLine="420"/>
        <w:rPr>
          <w:rFonts w:hint="eastAsia" w:ascii="宋体" w:hAnsi="宋体" w:eastAsia="宋体" w:cs="宋体"/>
          <w:sz w:val="21"/>
          <w:szCs w:val="21"/>
        </w:rPr>
      </w:pPr>
      <w:r>
        <w:rPr>
          <w:rFonts w:hint="eastAsia" w:ascii="宋体" w:hAnsi="宋体" w:eastAsia="宋体" w:cs="宋体"/>
          <w:sz w:val="21"/>
          <w:szCs w:val="21"/>
        </w:rPr>
        <w:t>本文认为，未来产业并非单纯依靠技术进步自然形成，而是在技术创新、产业组织演化与政策治理优化相互作用中逐步发展壮大的。面向未来，应从强化基础研究支撑、完善协同创新机制、优化产业生态布局和健全政策治理体系等方面协同发力，以提升未来产业发展的质量与韧性，为经济高质量发展和现代化产业体系建设提供有力支撑。整体而言，本文从综合视角阐释了未来产业发展的核心逻辑，为理解其形成机制和完善相关政策供给提供了理论参考。</w:t>
      </w:r>
    </w:p>
    <w:p>
      <w:pPr>
        <w:pStyle w:val="8"/>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关键词：</w:t>
      </w:r>
      <w:r>
        <w:rPr>
          <w:rFonts w:hint="eastAsia" w:ascii="宋体" w:hAnsi="宋体" w:eastAsia="宋体" w:cs="宋体"/>
          <w:sz w:val="21"/>
          <w:szCs w:val="21"/>
        </w:rPr>
        <w:t>未来产业；技术创新范式；产业组织特征；政策治理</w:t>
      </w:r>
    </w:p>
    <w:bookmarkEnd w:id="0"/>
    <w:p>
      <w:pPr>
        <w:jc w:val="left"/>
        <w:rPr>
          <w:rFonts w:ascii="宋体" w:hAnsi="宋体" w:eastAsia="宋体" w:cs="宋体"/>
          <w:color w:val="000000"/>
          <w:kern w:val="0"/>
          <w:sz w:val="18"/>
          <w:szCs w:val="18"/>
        </w:rPr>
      </w:pPr>
    </w:p>
    <w:p>
      <w:pPr>
        <w:jc w:val="left"/>
        <w:rPr>
          <w:rFonts w:ascii="宋体" w:hAnsi="宋体" w:eastAsia="宋体" w:cs="宋体"/>
          <w:color w:val="000000"/>
          <w:kern w:val="0"/>
          <w:sz w:val="18"/>
          <w:szCs w:val="18"/>
        </w:rPr>
      </w:pPr>
    </w:p>
    <w:p>
      <w:pPr>
        <w:jc w:val="left"/>
        <w:rPr>
          <w:rFonts w:ascii="宋体" w:hAnsi="宋体" w:eastAsia="宋体" w:cs="宋体"/>
          <w:color w:val="000000"/>
          <w:kern w:val="0"/>
          <w:sz w:val="18"/>
          <w:szCs w:val="18"/>
        </w:rPr>
      </w:pPr>
    </w:p>
    <w:p>
      <w:pPr>
        <w:jc w:val="left"/>
        <w:rPr>
          <w:rFonts w:ascii="宋体" w:hAnsi="宋体" w:eastAsia="宋体" w:cs="宋体"/>
          <w:color w:val="000000"/>
          <w:kern w:val="0"/>
          <w:sz w:val="18"/>
          <w:szCs w:val="18"/>
        </w:rPr>
      </w:pPr>
    </w:p>
    <w:p>
      <w:pPr>
        <w:jc w:val="left"/>
        <w:rPr>
          <w:rFonts w:ascii="宋体" w:hAnsi="宋体" w:eastAsia="宋体" w:cs="宋体"/>
          <w:color w:val="000000"/>
          <w:kern w:val="0"/>
          <w:sz w:val="18"/>
          <w:szCs w:val="18"/>
        </w:rPr>
      </w:pPr>
    </w:p>
    <w:p>
      <w:pPr>
        <w:jc w:val="center"/>
        <w:rPr>
          <w:rFonts w:hint="eastAsia" w:ascii="Times New Roman" w:hAnsi="Times New Roman" w:cs="Times New Roman"/>
          <w:b/>
          <w:bCs/>
          <w:sz w:val="28"/>
          <w:szCs w:val="32"/>
        </w:rPr>
      </w:pPr>
      <w:bookmarkStart w:id="2" w:name="OLE_LINK37"/>
    </w:p>
    <w:p>
      <w:pPr>
        <w:jc w:val="center"/>
        <w:rPr>
          <w:rFonts w:hint="eastAsia" w:ascii="Times New Roman" w:hAnsi="Times New Roman" w:cs="Times New Roman"/>
          <w:b/>
          <w:bCs/>
          <w:sz w:val="28"/>
          <w:szCs w:val="32"/>
        </w:rPr>
      </w:pPr>
    </w:p>
    <w:p>
      <w:pPr>
        <w:jc w:val="center"/>
        <w:rPr>
          <w:rFonts w:ascii="Times New Roman" w:hAnsi="Times New Roman" w:cs="Times New Roman"/>
          <w:b/>
          <w:bCs/>
          <w:sz w:val="28"/>
          <w:szCs w:val="32"/>
        </w:rPr>
      </w:pPr>
      <w:r>
        <w:rPr>
          <w:rFonts w:hint="eastAsia" w:ascii="Times New Roman" w:hAnsi="Times New Roman" w:cs="Times New Roman"/>
          <w:b/>
          <w:bCs/>
          <w:sz w:val="28"/>
          <w:szCs w:val="32"/>
        </w:rPr>
        <w:t>Technology Innovation Paradigms, Industrial Organization Characteristics, and Policy Governance Logic of Future Industries</w:t>
      </w:r>
    </w:p>
    <w:p>
      <w:pPr>
        <w:jc w:val="center"/>
        <w:rPr>
          <w:rFonts w:ascii="Times New Roman" w:hAnsi="Times New Roman" w:cs="Times New Roman"/>
          <w:szCs w:val="21"/>
          <w:vertAlign w:val="superscript"/>
        </w:rPr>
      </w:pPr>
      <w:r>
        <w:rPr>
          <w:rFonts w:hint="eastAsia" w:ascii="Times New Roman" w:hAnsi="Times New Roman" w:cs="Times New Roman"/>
          <w:szCs w:val="21"/>
        </w:rPr>
        <w:t>QU Shenning</w:t>
      </w:r>
      <w:r>
        <w:rPr>
          <w:rFonts w:ascii="Times New Roman" w:hAnsi="Times New Roman" w:cs="Times New Roman"/>
          <w:szCs w:val="21"/>
          <w:vertAlign w:val="superscript"/>
        </w:rPr>
        <w:t>1</w:t>
      </w:r>
      <w:r>
        <w:rPr>
          <w:rFonts w:hint="eastAsia" w:ascii="Times New Roman" w:hAnsi="Times New Roman" w:cs="Times New Roman"/>
          <w:szCs w:val="21"/>
        </w:rPr>
        <w:t>, SHEN Mengtan</w:t>
      </w:r>
      <w:r>
        <w:rPr>
          <w:rFonts w:hint="eastAsia" w:ascii="Times New Roman" w:hAnsi="Times New Roman" w:cs="Times New Roman"/>
          <w:szCs w:val="21"/>
          <w:vertAlign w:val="superscript"/>
        </w:rPr>
        <w:t>2</w:t>
      </w:r>
    </w:p>
    <w:p>
      <w:pPr>
        <w:jc w:val="center"/>
        <w:rPr>
          <w:rFonts w:ascii="Times New Roman" w:hAnsi="Times New Roman" w:cs="Times New Roman"/>
          <w:szCs w:val="21"/>
          <w:vertAlign w:val="superscript"/>
        </w:rPr>
      </w:pPr>
    </w:p>
    <w:p>
      <w:pPr>
        <w:tabs>
          <w:tab w:val="left" w:pos="312"/>
        </w:tabs>
        <w:jc w:val="center"/>
        <w:rPr>
          <w:rFonts w:ascii="Times New Roman" w:hAnsi="Times New Roman" w:cs="Times New Roman"/>
          <w:sz w:val="18"/>
          <w:szCs w:val="18"/>
        </w:rPr>
      </w:pPr>
      <w:r>
        <w:rPr>
          <w:rFonts w:ascii="Times New Roman" w:hAnsi="Times New Roman" w:cs="Times New Roman"/>
          <w:sz w:val="18"/>
          <w:szCs w:val="18"/>
        </w:rPr>
        <w:t xml:space="preserve">(1. </w:t>
      </w:r>
      <w:r>
        <w:rPr>
          <w:rFonts w:hint="eastAsia" w:ascii="Times New Roman" w:hAnsi="Times New Roman" w:cs="Times New Roman"/>
          <w:sz w:val="18"/>
          <w:szCs w:val="18"/>
        </w:rPr>
        <w:t>Institute of Industrial Economics, CASS, Beijing 100006</w:t>
      </w:r>
      <w:r>
        <w:rPr>
          <w:rFonts w:ascii="Times New Roman" w:hAnsi="Times New Roman" w:cs="Times New Roman"/>
          <w:sz w:val="18"/>
          <w:szCs w:val="18"/>
        </w:rPr>
        <w:t>, China</w:t>
      </w:r>
      <w:r>
        <w:rPr>
          <w:rFonts w:hint="eastAsia" w:ascii="Times New Roman" w:hAnsi="Times New Roman" w:cs="Times New Roman"/>
          <w:sz w:val="18"/>
          <w:szCs w:val="18"/>
        </w:rPr>
        <w:t>;</w:t>
      </w:r>
      <w:r>
        <w:rPr>
          <w:rFonts w:hint="eastAsia" w:ascii="Times New Roman" w:hAnsi="Times New Roman" w:cs="Times New Roman"/>
          <w:sz w:val="18"/>
          <w:szCs w:val="18"/>
        </w:rPr>
        <w:br w:type="textWrapping"/>
      </w:r>
      <w:r>
        <w:rPr>
          <w:rFonts w:hint="eastAsia" w:ascii="Times New Roman" w:hAnsi="Times New Roman" w:cs="Times New Roman"/>
          <w:sz w:val="18"/>
          <w:szCs w:val="18"/>
        </w:rPr>
        <w:t>2.</w:t>
      </w:r>
      <w:r>
        <w:rPr>
          <w:rFonts w:ascii="Times New Roman" w:hAnsi="Times New Roman" w:cs="Times New Roman"/>
          <w:sz w:val="18"/>
          <w:szCs w:val="18"/>
        </w:rPr>
        <w:t xml:space="preserve"> </w:t>
      </w:r>
      <w:r>
        <w:rPr>
          <w:rFonts w:hint="eastAsia" w:ascii="Times New Roman" w:hAnsi="Times New Roman" w:cs="Times New Roman"/>
          <w:sz w:val="18"/>
          <w:szCs w:val="18"/>
        </w:rPr>
        <w:t>Faculty of Applied Economics, UCASS, Beijing 102488</w:t>
      </w:r>
      <w:r>
        <w:rPr>
          <w:rFonts w:ascii="Times New Roman" w:hAnsi="Times New Roman" w:cs="Times New Roman"/>
          <w:sz w:val="18"/>
          <w:szCs w:val="18"/>
        </w:rPr>
        <w:t>, China</w:t>
      </w:r>
      <w:r>
        <w:rPr>
          <w:rFonts w:hint="eastAsia" w:ascii="Times New Roman" w:hAnsi="Times New Roman" w:cs="Times New Roman"/>
          <w:sz w:val="18"/>
          <w:szCs w:val="18"/>
        </w:rPr>
        <w:t>)</w:t>
      </w:r>
    </w:p>
    <w:p>
      <w:pPr>
        <w:jc w:val="center"/>
        <w:rPr>
          <w:rFonts w:ascii="Times New Roman" w:hAnsi="Times New Roman" w:cs="Times New Roman"/>
          <w:sz w:val="18"/>
          <w:szCs w:val="18"/>
        </w:rPr>
      </w:pPr>
    </w:p>
    <w:p>
      <w:pPr>
        <w:spacing w:after="0" w:line="240" w:lineRule="auto"/>
        <w:jc w:val="both"/>
        <w:rPr>
          <w:rFonts w:ascii="Times New Roman" w:hAnsi="Times New Roman" w:eastAsia="宋体" w:cs="Times New Roman"/>
          <w:sz w:val="18"/>
          <w:szCs w:val="18"/>
        </w:rPr>
      </w:pPr>
      <w:r>
        <w:rPr>
          <w:rFonts w:ascii="Times New Roman" w:hAnsi="Times New Roman" w:eastAsia="宋体" w:cs="Times New Roman"/>
          <w:b/>
          <w:bCs/>
          <w:sz w:val="18"/>
          <w:szCs w:val="18"/>
        </w:rPr>
        <w:t>Summary:</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Future industries represent a new direction in industrial development characterized by breakthroughs in frontier technologies, expansion into emerging application scenarios, and continuous evolution of industrial forms. As a new round of technological revolution and industrial transformation advances, future industries are increasingly recognized as a critical domain for promoting shifts in economic growth models, shaping national competitive advantages, and cultivating new </w:t>
      </w:r>
      <w:r>
        <w:rPr>
          <w:rFonts w:ascii="Times New Roman" w:hAnsi="Times New Roman" w:eastAsia="宋体" w:cs="Times New Roman"/>
          <w:sz w:val="18"/>
          <w:szCs w:val="18"/>
        </w:rPr>
        <w:t>quality</w:t>
      </w:r>
      <w:r>
        <w:rPr>
          <w:rFonts w:hint="eastAsia" w:ascii="Times New Roman" w:hAnsi="Times New Roman" w:eastAsia="宋体" w:cs="Times New Roman"/>
          <w:sz w:val="18"/>
          <w:szCs w:val="18"/>
        </w:rPr>
        <w:t xml:space="preserve"> productive </w:t>
      </w:r>
      <w:r>
        <w:rPr>
          <w:rFonts w:ascii="Times New Roman" w:hAnsi="Times New Roman" w:eastAsia="宋体" w:cs="Times New Roman"/>
          <w:sz w:val="18"/>
          <w:szCs w:val="18"/>
        </w:rPr>
        <w:t>forces</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T</w:t>
      </w:r>
      <w:r>
        <w:rPr>
          <w:rFonts w:hint="eastAsia" w:ascii="Times New Roman" w:hAnsi="Times New Roman" w:eastAsia="宋体" w:cs="Times New Roman"/>
          <w:sz w:val="18"/>
          <w:szCs w:val="18"/>
        </w:rPr>
        <w:t>his study focuses on future industries, systematically analyzing their core issues, including technological innovation, industrial organization, and policy governance, aim</w:t>
      </w:r>
      <w:r>
        <w:rPr>
          <w:rFonts w:ascii="Times New Roman" w:hAnsi="Times New Roman" w:eastAsia="宋体" w:cs="Times New Roman"/>
          <w:sz w:val="18"/>
          <w:szCs w:val="18"/>
        </w:rPr>
        <w:t>ing to</w:t>
      </w:r>
      <w:r>
        <w:rPr>
          <w:rFonts w:hint="eastAsia" w:ascii="Times New Roman" w:hAnsi="Times New Roman" w:eastAsia="宋体" w:cs="Times New Roman"/>
          <w:sz w:val="18"/>
          <w:szCs w:val="18"/>
        </w:rPr>
        <w:t xml:space="preserve"> reveal the intrinsic mechanisms and evolutionary logic underlying their development. Th</w:t>
      </w:r>
      <w:r>
        <w:rPr>
          <w:rFonts w:ascii="Times New Roman" w:hAnsi="Times New Roman" w:eastAsia="宋体" w:cs="Times New Roman"/>
          <w:sz w:val="18"/>
          <w:szCs w:val="18"/>
        </w:rPr>
        <w:t>is</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study</w:t>
      </w:r>
      <w:r>
        <w:rPr>
          <w:rFonts w:hint="eastAsia" w:ascii="Times New Roman" w:hAnsi="Times New Roman" w:eastAsia="宋体" w:cs="Times New Roman"/>
          <w:sz w:val="18"/>
          <w:szCs w:val="18"/>
        </w:rPr>
        <w:t xml:space="preserve"> primarily employs a combination of theoretical analysis and framework construction, building a comprehensive analytical system for future industries across three dimensions: technological breakthroughs, organizational restructuring, and governance adaptation.</w:t>
      </w:r>
    </w:p>
    <w:p>
      <w:pPr>
        <w:spacing w:after="0" w:line="240" w:lineRule="auto"/>
        <w:ind w:firstLine="360" w:firstLineChars="200"/>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The findings indicate that the development of future industries is marked by pronounced frontier characteristics, uncertainty, and dynamic complexity, rendering traditional analysis frameworks based on mature industries insufficient to fully explain their formation mechanisms and evolutionary trajectories. From the perspective of technological innovation, the growth of future industries relies on a synergy of fundamental research breakthroughs, integration of key technologies, and collaborative innovation among multiple actors, reflecting a shift from isolated technological breakthroughs to systematic coordination. Regarding industrial organization, future industries exhibit core features such as the aggregation of key actors, strengthened platform support, and enhanced ecosystem collaboration. Consequently, market competition evolves from product-centric rivalry to comprehensive competition encompassing technologies, standards, platforms, and ecosystem capabilities. In terms of policy governance, the development of future industries requires not only a stable institutional environment and sustained innovation support but also a forward-looking, flexible, and systemic policy framework encompassing risk</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sharing, resource allocation, standard</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setting, and governance coordination.</w:t>
      </w:r>
    </w:p>
    <w:p>
      <w:pPr>
        <w:spacing w:after="0" w:line="240" w:lineRule="auto"/>
        <w:ind w:firstLine="360" w:firstLineChars="200"/>
        <w:jc w:val="both"/>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This study argues that future industries do not emerge solely through technological progress; rather, they expand and consolidate through the interplay of technological innovation, industrial organization evolution, and policy governance optimization. Looking ahead, coordinated efforts should focus on strengthening fundamental research, improving collaborative innovation mechanisms, optimizing industrial ecosystem configurations, and refining governance systems to enhance the quality and resilience of future industrial development. Overall, this paper provides a comprehensive perspective on the core logic of future industries, offering theoretical insights </w:t>
      </w:r>
      <w:r>
        <w:rPr>
          <w:rFonts w:ascii="Times New Roman" w:hAnsi="Times New Roman" w:eastAsia="宋体" w:cs="Times New Roman"/>
          <w:sz w:val="18"/>
          <w:szCs w:val="18"/>
        </w:rPr>
        <w:t>into</w:t>
      </w:r>
      <w:r>
        <w:rPr>
          <w:rFonts w:hint="eastAsia" w:ascii="Times New Roman" w:hAnsi="Times New Roman" w:eastAsia="宋体" w:cs="Times New Roman"/>
          <w:sz w:val="18"/>
          <w:szCs w:val="18"/>
        </w:rPr>
        <w:t xml:space="preserve"> understanding their formation mechanisms and informing effective policy design.</w:t>
      </w:r>
    </w:p>
    <w:p>
      <w:pPr>
        <w:spacing w:after="0" w:line="240" w:lineRule="auto"/>
        <w:jc w:val="both"/>
        <w:rPr>
          <w:rFonts w:ascii="Times New Roman" w:hAnsi="Times New Roman" w:eastAsia="宋体" w:cs="Times New Roman"/>
          <w:sz w:val="18"/>
          <w:szCs w:val="18"/>
        </w:rPr>
      </w:pPr>
      <w:r>
        <w:rPr>
          <w:rFonts w:ascii="Times New Roman" w:hAnsi="Times New Roman" w:eastAsia="宋体" w:cs="Times New Roman"/>
          <w:b/>
          <w:bCs/>
          <w:sz w:val="18"/>
          <w:szCs w:val="18"/>
        </w:rPr>
        <w:t xml:space="preserve">Key words: </w:t>
      </w:r>
      <w:r>
        <w:rPr>
          <w:rFonts w:ascii="Times New Roman" w:hAnsi="Times New Roman" w:eastAsia="宋体" w:cs="Times New Roman"/>
          <w:sz w:val="18"/>
          <w:szCs w:val="18"/>
        </w:rPr>
        <w:t>future industries; technological innovation paradigm; characteristics of industrial organization; policy governance</w:t>
      </w:r>
    </w:p>
    <w:bookmarkEnd w:id="2"/>
    <w:p>
      <w:pPr>
        <w:rPr>
          <w:rFonts w:ascii="Times New Roman" w:hAnsi="Times New Roman" w:cs="Times New Roman"/>
          <w:sz w:val="18"/>
          <w:szCs w:val="18"/>
        </w:rPr>
      </w:pPr>
    </w:p>
    <w:p>
      <w:pPr>
        <w:pStyle w:val="5"/>
        <w:spacing w:after="0"/>
        <w:jc w:val="both"/>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实证类文章长摘要模板</w:t>
      </w:r>
    </w:p>
    <w:p>
      <w:pPr>
        <w:pStyle w:val="5"/>
        <w:spacing w:after="0"/>
        <w:rPr>
          <w:rFonts w:hint="eastAsia" w:ascii="宋体" w:hAnsi="宋体" w:eastAsia="宋体" w:cs="宋体"/>
          <w:sz w:val="21"/>
          <w:szCs w:val="21"/>
          <w:lang w:eastAsia="zh-CN"/>
        </w:rPr>
      </w:pPr>
      <w:r>
        <w:rPr>
          <w:rFonts w:hint="eastAsia" w:ascii="宋体" w:hAnsi="宋体" w:eastAsia="宋体" w:cs="宋体"/>
          <w:b/>
          <w:bCs/>
          <w:sz w:val="32"/>
          <w:szCs w:val="32"/>
        </w:rPr>
        <w:t>数字技术创新如何提升企业韧性</w:t>
      </w:r>
    </w:p>
    <w:p>
      <w:pPr>
        <w:pStyle w:val="6"/>
        <w:keepNext w:val="0"/>
        <w:keepLines w:val="0"/>
        <w:pageBreakBefore w:val="0"/>
        <w:widowControl/>
        <w:kinsoku/>
        <w:wordWrap/>
        <w:overflowPunct/>
        <w:topLinePunct w:val="0"/>
        <w:autoSpaceDE/>
        <w:autoSpaceDN/>
        <w:bidi w:val="0"/>
        <w:adjustRightInd/>
        <w:snapToGrid/>
        <w:spacing w:before="157" w:beforeLines="50" w:after="0"/>
        <w:textAlignment w:val="baseline"/>
        <w:rPr>
          <w:rFonts w:ascii="宋体" w:hAnsi="宋体" w:eastAsia="宋体" w:cs="宋体"/>
          <w:sz w:val="21"/>
          <w:szCs w:val="21"/>
        </w:rPr>
      </w:pPr>
      <w:r>
        <w:rPr>
          <w:rFonts w:hint="eastAsia" w:ascii="宋体" w:hAnsi="宋体" w:eastAsia="宋体" w:cs="宋体"/>
          <w:sz w:val="21"/>
          <w:szCs w:val="21"/>
        </w:rPr>
        <w:t>李长英，张帅</w:t>
      </w:r>
    </w:p>
    <w:p>
      <w:pPr>
        <w:pStyle w:val="6"/>
        <w:spacing w:after="0"/>
        <w:rPr>
          <w:rFonts w:ascii="宋体" w:hAnsi="宋体" w:eastAsia="宋体" w:cs="宋体"/>
          <w:sz w:val="21"/>
          <w:szCs w:val="21"/>
        </w:rPr>
      </w:pPr>
    </w:p>
    <w:p>
      <w:pPr>
        <w:pStyle w:val="7"/>
        <w:rPr>
          <w:rFonts w:ascii="宋体" w:hAnsi="宋体" w:eastAsia="宋体" w:cs="宋体"/>
        </w:rPr>
      </w:pPr>
      <w:r>
        <w:rPr>
          <w:rFonts w:hint="eastAsia" w:ascii="宋体" w:hAnsi="宋体" w:eastAsia="宋体" w:cs="宋体"/>
        </w:rPr>
        <w:t>（山东大学 经济学院，山东  济南  250100）</w:t>
      </w:r>
    </w:p>
    <w:p/>
    <w:p>
      <w:pPr>
        <w:spacing w:after="0" w:line="240" w:lineRule="auto"/>
        <w:jc w:val="both"/>
        <w:rPr>
          <w:rFonts w:ascii="宋体" w:hAnsi="宋体"/>
          <w:b/>
          <w:szCs w:val="21"/>
        </w:rPr>
      </w:pPr>
      <w:r>
        <w:rPr>
          <w:rFonts w:hint="eastAsia" w:ascii="宋体" w:hAnsi="宋体" w:eastAsia="宋体" w:cs="宋体"/>
          <w:b/>
          <w:bCs/>
          <w:color w:val="000000"/>
          <w:sz w:val="21"/>
          <w:szCs w:val="21"/>
        </w:rPr>
        <w:t>梗 概：</w:t>
      </w:r>
      <w:r>
        <w:rPr>
          <w:rFonts w:hint="eastAsia" w:ascii="宋体" w:hAnsi="宋体" w:eastAsia="宋体" w:cs="宋体"/>
          <w:color w:val="000000"/>
          <w:sz w:val="21"/>
          <w:szCs w:val="21"/>
        </w:rPr>
        <w:t>企业韧性是保障中国产业链供应链安全、实现经济高质量发展的关键。近年来，地缘政治形势复杂多变，全球经济不确定性加剧，经济竞争逐渐由产业竞争转变为产业链竞争，严重影响了中国的产业链供应链安全。企业是中国经济发展的中坚力量，提升企业韧性本质上是增强企业应对风险的免疫力、捕捉机遇的敏锐度和长期发展的续航力，其不仅能保证企业在市场中存续，还能让企业在行业重构中抢占先机，最终实现从短期存续到长期领先的跨越，从而稳定产业链供应链，提高我国宏观经济韧性。在数字经济时代，数字技术创新已经成为驱动中国经济发展的核心动力。在此背景下，研究数字技术创新如何提升企业韧性具有重要的理论意义和现实价值。</w:t>
      </w:r>
    </w:p>
    <w:p>
      <w:pPr>
        <w:spacing w:after="0" w:line="240" w:lineRule="auto"/>
        <w:ind w:firstLine="420" w:firstLineChars="200"/>
        <w:jc w:val="both"/>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本文基于2020—2022年中国上市公司的数字专利申请数据，采用双向固定效应模型实证检验数字技术创新对企业韧性的影响及作用机制。研究结果显示：数字技术创新能够提升企业韧性，在一系列内生性检验和稳健性检验后该结论依然成立。机制检验结果显示，数字技术创新通过提高企业生产率、增强企业市场获利能力和稳定企业预期提升企业韧性。异质性分析结果显示，对于高市场竞程度行业、高创新失败风险行业、数字基础设施较完善地区和知识产权保护较好地区的企业而言，数字技术创新对企业韧性的提升作用更明显。此外，虽然非数字技术创新未能直接提升企业韧性，但能与数字技术创新协同，共同提升企业韧性。</w:t>
      </w:r>
    </w:p>
    <w:p>
      <w:pPr>
        <w:spacing w:after="0" w:line="240" w:lineRule="auto"/>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本文的边际贡献体现在三个方面：一是拓展了数字化与企业韧性的相关文献，研究了数字技术创新对企业韧性的影响，是对相关文献的有益补充；二是揭示了数字技术创新影响企业韧性的作用机制，为理解数字技术提升企业韧性的深层次原因提供了参考；三是识别了数字技术创新和非数字技术创新的协同作用，深化了对数字技术创新影响企业韧性的理解。</w:t>
      </w:r>
    </w:p>
    <w:p>
      <w:pPr>
        <w:pStyle w:val="7"/>
        <w:jc w:val="both"/>
        <w:rPr>
          <w:rFonts w:ascii="Times New Roman" w:hAnsi="Times New Roman" w:eastAsia="宋体"/>
          <w:color w:val="auto"/>
          <w:kern w:val="2"/>
          <w:sz w:val="21"/>
          <w:szCs w:val="21"/>
          <w14:ligatures w14:val="standardContextual"/>
        </w:rPr>
      </w:pPr>
      <w:r>
        <w:rPr>
          <w:rFonts w:hint="eastAsia" w:ascii="Times New Roman" w:hAnsi="Times New Roman" w:eastAsia="宋体"/>
          <w:b/>
          <w:bCs/>
          <w:color w:val="auto"/>
          <w:kern w:val="2"/>
          <w:sz w:val="21"/>
          <w:szCs w:val="21"/>
          <w14:ligatures w14:val="standardContextual"/>
        </w:rPr>
        <w:t>关键词：</w:t>
      </w:r>
      <w:r>
        <w:rPr>
          <w:rFonts w:hint="eastAsia" w:ascii="Times New Roman" w:hAnsi="Times New Roman" w:eastAsia="宋体"/>
          <w:color w:val="auto"/>
          <w:kern w:val="2"/>
          <w:sz w:val="21"/>
          <w:szCs w:val="21"/>
          <w14:ligatures w14:val="standardContextual"/>
        </w:rPr>
        <w:t>数字技术创新；企业韧性；数字专利；产业链；供应链</w:t>
      </w:r>
    </w:p>
    <w:p>
      <w:pPr>
        <w:spacing w:after="0" w:line="240" w:lineRule="auto"/>
        <w:ind w:firstLine="420" w:firstLineChars="200"/>
        <w:jc w:val="both"/>
        <w:rPr>
          <w:rFonts w:ascii="Times New Roman" w:hAnsi="Times New Roman" w:eastAsia="宋体"/>
          <w:sz w:val="21"/>
          <w:szCs w:val="21"/>
        </w:rPr>
      </w:pPr>
    </w:p>
    <w:bookmarkEnd w:id="1"/>
    <w:p>
      <w:pPr>
        <w:spacing w:after="0" w:line="240" w:lineRule="auto"/>
        <w:ind w:firstLine="420" w:firstLineChars="200"/>
        <w:jc w:val="both"/>
        <w:rPr>
          <w:rFonts w:ascii="Times New Roman" w:hAnsi="Times New Roman" w:eastAsia="宋体"/>
          <w:sz w:val="21"/>
          <w:szCs w:val="21"/>
        </w:rPr>
      </w:pPr>
    </w:p>
    <w:p>
      <w:pPr>
        <w:spacing w:after="0" w:line="240" w:lineRule="auto"/>
        <w:ind w:firstLine="420" w:firstLineChars="200"/>
        <w:jc w:val="both"/>
        <w:rPr>
          <w:rFonts w:ascii="Times New Roman" w:hAnsi="Times New Roman" w:eastAsia="宋体"/>
          <w:sz w:val="21"/>
          <w:szCs w:val="21"/>
        </w:rPr>
      </w:pPr>
    </w:p>
    <w:p>
      <w:pPr>
        <w:spacing w:after="0" w:line="240" w:lineRule="auto"/>
        <w:ind w:firstLine="420" w:firstLineChars="200"/>
        <w:jc w:val="both"/>
        <w:rPr>
          <w:rFonts w:ascii="Times New Roman" w:hAnsi="Times New Roman" w:eastAsia="宋体"/>
          <w:sz w:val="21"/>
          <w:szCs w:val="21"/>
        </w:rPr>
      </w:pPr>
    </w:p>
    <w:p>
      <w:pPr>
        <w:spacing w:after="0" w:line="240" w:lineRule="auto"/>
        <w:ind w:firstLine="420" w:firstLineChars="200"/>
        <w:jc w:val="both"/>
        <w:rPr>
          <w:rFonts w:ascii="Times New Roman" w:hAnsi="Times New Roman" w:eastAsia="宋体"/>
          <w:sz w:val="21"/>
          <w:szCs w:val="21"/>
        </w:rPr>
      </w:pPr>
    </w:p>
    <w:p>
      <w:pPr>
        <w:spacing w:after="0" w:line="240" w:lineRule="auto"/>
        <w:ind w:firstLine="420" w:firstLineChars="200"/>
        <w:jc w:val="both"/>
        <w:rPr>
          <w:rFonts w:ascii="Times New Roman" w:hAnsi="Times New Roman" w:eastAsia="宋体"/>
          <w:sz w:val="21"/>
          <w:szCs w:val="21"/>
        </w:rPr>
      </w:pPr>
    </w:p>
    <w:p>
      <w:pPr>
        <w:spacing w:after="0" w:line="240" w:lineRule="auto"/>
        <w:ind w:firstLine="420" w:firstLineChars="200"/>
        <w:jc w:val="both"/>
        <w:rPr>
          <w:rFonts w:ascii="Times New Roman" w:hAnsi="Times New Roman" w:eastAsia="宋体"/>
          <w:sz w:val="21"/>
          <w:szCs w:val="21"/>
        </w:rPr>
      </w:pPr>
    </w:p>
    <w:p>
      <w:pPr>
        <w:spacing w:after="0" w:line="240" w:lineRule="auto"/>
        <w:ind w:firstLine="420" w:firstLineChars="200"/>
        <w:jc w:val="both"/>
        <w:rPr>
          <w:rFonts w:ascii="Times New Roman" w:hAnsi="Times New Roman" w:eastAsia="宋体"/>
          <w:sz w:val="21"/>
          <w:szCs w:val="21"/>
        </w:rPr>
      </w:pPr>
    </w:p>
    <w:p>
      <w:pPr>
        <w:spacing w:after="0" w:line="240" w:lineRule="auto"/>
        <w:ind w:firstLine="420" w:firstLineChars="200"/>
        <w:jc w:val="both"/>
        <w:rPr>
          <w:rFonts w:ascii="Times New Roman" w:hAnsi="Times New Roman" w:eastAsia="宋体"/>
          <w:sz w:val="21"/>
          <w:szCs w:val="21"/>
        </w:rPr>
      </w:pPr>
    </w:p>
    <w:p>
      <w:pPr>
        <w:spacing w:after="0" w:line="240" w:lineRule="auto"/>
        <w:ind w:firstLine="420" w:firstLineChars="200"/>
        <w:jc w:val="both"/>
        <w:rPr>
          <w:rFonts w:ascii="Times New Roman" w:hAnsi="Times New Roman" w:eastAsia="宋体"/>
          <w:sz w:val="21"/>
          <w:szCs w:val="21"/>
        </w:rPr>
      </w:pPr>
    </w:p>
    <w:p>
      <w:pPr>
        <w:spacing w:after="0" w:line="240" w:lineRule="auto"/>
        <w:ind w:firstLine="420" w:firstLineChars="200"/>
        <w:jc w:val="both"/>
        <w:rPr>
          <w:rFonts w:ascii="Times New Roman" w:hAnsi="Times New Roman" w:eastAsia="宋体"/>
          <w:sz w:val="21"/>
          <w:szCs w:val="21"/>
        </w:rPr>
      </w:pPr>
    </w:p>
    <w:p>
      <w:pPr>
        <w:spacing w:after="0" w:line="240" w:lineRule="auto"/>
        <w:ind w:firstLine="420" w:firstLineChars="200"/>
        <w:jc w:val="both"/>
        <w:rPr>
          <w:rFonts w:ascii="Times New Roman" w:hAnsi="Times New Roman" w:eastAsia="宋体"/>
          <w:sz w:val="21"/>
          <w:szCs w:val="21"/>
        </w:rPr>
      </w:pPr>
    </w:p>
    <w:p>
      <w:pPr>
        <w:spacing w:after="0" w:line="240" w:lineRule="auto"/>
        <w:ind w:firstLine="420" w:firstLineChars="200"/>
        <w:jc w:val="both"/>
        <w:rPr>
          <w:rFonts w:ascii="Times New Roman" w:hAnsi="Times New Roman" w:eastAsia="宋体"/>
          <w:sz w:val="21"/>
          <w:szCs w:val="21"/>
        </w:rPr>
      </w:pPr>
    </w:p>
    <w:p>
      <w:pPr>
        <w:spacing w:after="0" w:line="240" w:lineRule="auto"/>
        <w:ind w:firstLine="420" w:firstLineChars="200"/>
        <w:jc w:val="both"/>
        <w:rPr>
          <w:rFonts w:ascii="Times New Roman" w:hAnsi="Times New Roman" w:eastAsia="宋体"/>
          <w:sz w:val="21"/>
          <w:szCs w:val="21"/>
        </w:rPr>
      </w:pPr>
    </w:p>
    <w:p>
      <w:pPr>
        <w:spacing w:after="0" w:line="240" w:lineRule="auto"/>
        <w:jc w:val="center"/>
        <w:rPr>
          <w:rFonts w:ascii="Times New Roman" w:hAnsi="Times New Roman" w:eastAsia="宋体" w:cs="Times New Roman"/>
          <w:b/>
          <w:bCs/>
          <w:sz w:val="32"/>
          <w:szCs w:val="32"/>
        </w:rPr>
      </w:pPr>
      <w:bookmarkStart w:id="3" w:name="OLE_LINK1"/>
      <w:r>
        <w:rPr>
          <w:rFonts w:ascii="Times New Roman" w:hAnsi="Times New Roman" w:eastAsia="宋体" w:cs="Times New Roman"/>
          <w:b/>
          <w:bCs/>
          <w:sz w:val="32"/>
          <w:szCs w:val="32"/>
        </w:rPr>
        <w:br w:type="textWrapping"/>
      </w:r>
      <w:r>
        <w:rPr>
          <w:rFonts w:ascii="Times New Roman" w:hAnsi="Times New Roman" w:eastAsia="宋体" w:cs="Times New Roman"/>
          <w:b/>
          <w:bCs/>
          <w:sz w:val="32"/>
          <w:szCs w:val="32"/>
        </w:rPr>
        <w:t>How Does Digital Technology Innovation Enhance Enterprise Resilience</w:t>
      </w:r>
    </w:p>
    <w:p>
      <w:pPr>
        <w:spacing w:after="0" w:line="240" w:lineRule="auto"/>
        <w:jc w:val="center"/>
        <w:rPr>
          <w:rFonts w:ascii="Times New Roman" w:hAnsi="Times New Roman" w:eastAsia="宋体" w:cs="Times New Roman"/>
          <w:b/>
          <w:bCs/>
          <w:sz w:val="21"/>
          <w:szCs w:val="21"/>
        </w:rPr>
      </w:pPr>
    </w:p>
    <w:p>
      <w:pPr>
        <w:spacing w:after="0" w:line="360" w:lineRule="auto"/>
        <w:jc w:val="center"/>
        <w:rPr>
          <w:rFonts w:ascii="Times New Roman" w:hAnsi="Times New Roman" w:eastAsia="微软雅黑" w:cs="Times New Roman"/>
          <w:sz w:val="21"/>
          <w:szCs w:val="21"/>
          <w:shd w:val="clear" w:color="auto" w:fill="FFFFFF"/>
        </w:rPr>
      </w:pPr>
      <w:r>
        <w:rPr>
          <w:rFonts w:ascii="Times New Roman" w:hAnsi="Times New Roman" w:eastAsia="微软雅黑" w:cs="Times New Roman"/>
          <w:sz w:val="24"/>
          <w:shd w:val="clear" w:color="auto" w:fill="FFFFFF"/>
        </w:rPr>
        <w:t>LI Changying, ZHANG Shuai</w:t>
      </w:r>
      <w:r>
        <w:rPr>
          <w:rFonts w:ascii="Times New Roman" w:hAnsi="Times New Roman" w:eastAsia="微软雅黑" w:cs="Times New Roman"/>
          <w:sz w:val="24"/>
          <w:shd w:val="clear" w:color="auto" w:fill="FFFFFF"/>
        </w:rPr>
        <w:br w:type="textWrapping"/>
      </w:r>
    </w:p>
    <w:p>
      <w:pPr>
        <w:spacing w:after="0" w:line="360" w:lineRule="auto"/>
        <w:jc w:val="center"/>
        <w:rPr>
          <w:rFonts w:hint="eastAsia" w:ascii="Times New Roman" w:hAnsi="Times New Roman" w:eastAsia="仿宋" w:cs="Times New Roman"/>
          <w:sz w:val="18"/>
          <w:szCs w:val="18"/>
        </w:rPr>
      </w:pPr>
      <w:r>
        <w:rPr>
          <w:rFonts w:hint="eastAsia" w:ascii="Times New Roman" w:hAnsi="Times New Roman" w:eastAsia="仿宋" w:cs="Times New Roman"/>
          <w:sz w:val="18"/>
          <w:szCs w:val="18"/>
        </w:rPr>
        <w:t>(</w:t>
      </w:r>
      <w:r>
        <w:rPr>
          <w:rFonts w:ascii="Times New Roman" w:hAnsi="Times New Roman" w:eastAsia="仿宋" w:cs="Times New Roman"/>
          <w:sz w:val="18"/>
          <w:szCs w:val="18"/>
        </w:rPr>
        <w:t>School of Economics, Shandong University, Jinan 250100, China</w:t>
      </w:r>
      <w:r>
        <w:rPr>
          <w:rFonts w:hint="eastAsia" w:ascii="Times New Roman" w:hAnsi="Times New Roman" w:eastAsia="仿宋" w:cs="Times New Roman"/>
          <w:sz w:val="18"/>
          <w:szCs w:val="18"/>
        </w:rPr>
        <w:t>)</w:t>
      </w:r>
    </w:p>
    <w:p>
      <w:pPr>
        <w:spacing w:after="0" w:line="360" w:lineRule="auto"/>
        <w:jc w:val="center"/>
        <w:rPr>
          <w:rFonts w:hint="eastAsia" w:ascii="Times New Roman" w:hAnsi="Times New Roman" w:eastAsia="仿宋" w:cs="Times New Roman"/>
          <w:sz w:val="21"/>
          <w:szCs w:val="21"/>
        </w:rPr>
      </w:pPr>
    </w:p>
    <w:p>
      <w:pPr>
        <w:spacing w:after="0" w:line="240" w:lineRule="auto"/>
        <w:jc w:val="both"/>
        <w:rPr>
          <w:rFonts w:ascii="Times New Roman" w:hAnsi="Times New Roman" w:eastAsia="宋体" w:cs="Times New Roman"/>
          <w:b/>
          <w:bCs/>
          <w:sz w:val="18"/>
          <w:szCs w:val="18"/>
        </w:rPr>
      </w:pPr>
      <w:r>
        <w:rPr>
          <w:rFonts w:ascii="Times New Roman" w:hAnsi="Times New Roman" w:eastAsia="宋体" w:cs="Times New Roman"/>
          <w:b/>
          <w:bCs/>
          <w:sz w:val="18"/>
          <w:szCs w:val="18"/>
        </w:rPr>
        <w:t>Summary</w:t>
      </w:r>
      <w:r>
        <w:rPr>
          <w:rFonts w:hint="eastAsia" w:ascii="Times New Roman" w:hAnsi="Times New Roman" w:eastAsia="宋体" w:cs="Times New Roman"/>
          <w:b/>
          <w:bCs/>
          <w:sz w:val="18"/>
          <w:szCs w:val="18"/>
        </w:rPr>
        <w:t>:</w:t>
      </w:r>
      <w:r>
        <w:rPr>
          <w:rFonts w:ascii="Times New Roman" w:hAnsi="Times New Roman" w:eastAsia="宋体" w:cs="Times New Roman"/>
          <w:b/>
          <w:bCs/>
          <w:sz w:val="18"/>
          <w:szCs w:val="18"/>
        </w:rPr>
        <w:t xml:space="preserve"> </w:t>
      </w:r>
      <w:r>
        <w:rPr>
          <w:rFonts w:ascii="Times New Roman" w:hAnsi="Times New Roman" w:eastAsia="宋体" w:cs="Times New Roman"/>
          <w:sz w:val="18"/>
          <w:szCs w:val="18"/>
        </w:rPr>
        <w:t>Enterprise resilience is the key to ensuring the security of China’s industrial and supply chains and achieving high-quality economic development. In recent years, the complex and volatile geopolitical situation and heightened uncertainty in the global economy have shifted economic competition from industrial competition to industrial chain competition, which has seriously threatened the security of China’s industrial and supply chains. As the backbone of China’s economic development, enterprises need enhanced resilience, which essentially means strengthening their risk tolerance, sensitivity to opportunities, and sustainability for long-term development. Improved enterprise resilience not only helps enterprises survive in the market but also enables them to seize opportunities in industrial restructuring, ultimately achieving a leap from short-term survival to long-term leadership, thereby stabilizing industrial and supply chains and enhancing the resilience of China’s macroeconomy. In the era of the digital economy, digital technology innovation has become the core driving force for China’s economic development. Against this background, studying how digital technology innovation enhances enterprise resilience carries important theoretical and practical significance.</w:t>
      </w:r>
    </w:p>
    <w:p>
      <w:pPr>
        <w:spacing w:after="0" w:line="240" w:lineRule="auto"/>
        <w:ind w:firstLine="360" w:firstLineChars="200"/>
        <w:jc w:val="both"/>
        <w:rPr>
          <w:rFonts w:ascii="Times New Roman" w:hAnsi="Times New Roman" w:eastAsia="宋体" w:cs="Times New Roman"/>
          <w:sz w:val="18"/>
          <w:szCs w:val="18"/>
        </w:rPr>
      </w:pPr>
      <w:r>
        <w:rPr>
          <w:rFonts w:ascii="Times New Roman" w:hAnsi="Times New Roman" w:eastAsia="宋体" w:cs="Times New Roman"/>
          <w:sz w:val="18"/>
          <w:szCs w:val="18"/>
        </w:rPr>
        <w:t>Based on digital patent application data of Chinese listed firms from 2020 to 2022, this paper empirically examines the impact and mechanism of digital technology innovation on enterprise resilience using a two-way fixed-effects model. The results show that digital technology innovation significantly improves enterprise resilience, and this conclusion remains robust after a series of endogeneity and robustness checks. Mechanism tests indicate that digital technology innovation enhances enterprise resilience by improving enterprise productivity, strengthening enterprise profitability, and stabilizing enterprise expectations. Heterogeneity analysis reveals that the positive effect of digital technology innovation on enterprise resilience is more pronounced for firms in industries with higher market competition, higher innovation failure risk, and firms located in regions with better digital infrastructure and stronger intellectual property protection. In addition, although non-digital technology innovation cannot directly improve enterprise resilience, it can synergize with digital technology innovation to jointly enhance enterprise resilience.</w:t>
      </w:r>
    </w:p>
    <w:p>
      <w:pPr>
        <w:spacing w:after="0" w:line="240" w:lineRule="auto"/>
        <w:ind w:firstLine="360" w:firstLineChars="200"/>
        <w:jc w:val="both"/>
        <w:rPr>
          <w:rFonts w:ascii="Times New Roman" w:hAnsi="Times New Roman" w:eastAsia="宋体" w:cs="Times New Roman"/>
          <w:sz w:val="18"/>
          <w:szCs w:val="18"/>
        </w:rPr>
      </w:pPr>
      <w:r>
        <w:rPr>
          <w:rFonts w:ascii="Times New Roman" w:hAnsi="Times New Roman" w:eastAsia="宋体" w:cs="Times New Roman"/>
          <w:sz w:val="18"/>
          <w:szCs w:val="18"/>
        </w:rPr>
        <w:t>The marginal contributions of this paper are threefold. First, it extends relevant literature on digitalization and enterprise resilience by investigating the impact of digital technology innovation on enterprise resilience, providing a valuable supplement to existing research. Second, it reveals the underlying mechanisms through which digital technology innovation affects enterprise resilience, offering insights into the fundamental reasons why digital technologies strengthen enterprise resilience. Third, it identifies the synergistic effect between digital and non-digital technology innovation, deepening the understanding of how digital technology innovation shapes enterprise resilience.</w:t>
      </w:r>
    </w:p>
    <w:p>
      <w:pPr>
        <w:spacing w:after="0" w:line="240" w:lineRule="auto"/>
        <w:jc w:val="both"/>
      </w:pPr>
      <w:r>
        <w:rPr>
          <w:rFonts w:ascii="Times New Roman" w:hAnsi="Times New Roman" w:eastAsia="宋体" w:cs="Times New Roman"/>
          <w:b/>
          <w:bCs/>
          <w:color w:val="000000"/>
          <w:sz w:val="18"/>
          <w:szCs w:val="18"/>
          <w14:ligatures w14:val="none"/>
        </w:rPr>
        <w:t>Key words:</w:t>
      </w:r>
      <w:r>
        <w:rPr>
          <w:rFonts w:ascii="Times New Roman" w:hAnsi="Times New Roman" w:cs="Times New Roman"/>
          <w:sz w:val="18"/>
          <w:szCs w:val="18"/>
        </w:rPr>
        <w:t xml:space="preserve"> </w:t>
      </w:r>
      <w:r>
        <w:rPr>
          <w:rFonts w:ascii="Times New Roman" w:hAnsi="Times New Roman" w:eastAsia="宋体" w:cs="Times New Roman"/>
          <w:color w:val="000000"/>
          <w:sz w:val="18"/>
          <w:szCs w:val="18"/>
          <w14:ligatures w14:val="none"/>
        </w:rPr>
        <w:t>digital technology innovation; enterprise resilience; digital patent; industrial chain; supply chain</w:t>
      </w:r>
      <w:bookmarkEnd w:id="3"/>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EU-HZ">
    <w:panose1 w:val="02010600010101010101"/>
    <w:charset w:val="86"/>
    <w:family w:val="auto"/>
    <w:pitch w:val="default"/>
    <w:sig w:usb0="E00002FF" w:usb1="48CF84DB" w:usb2="04000016" w:usb3="00000000" w:csb0="00040001" w:csb1="00000000"/>
  </w:font>
  <w:font w:name="方正黑体_GBK">
    <w:panose1 w:val="03000509000000000000"/>
    <w:charset w:val="86"/>
    <w:family w:val="auto"/>
    <w:pitch w:val="default"/>
    <w:sig w:usb0="00000001" w:usb1="080E0000" w:usb2="00000000" w:usb3="00000000" w:csb0="00040000" w:csb1="00000000"/>
  </w:font>
  <w:font w:name="NEU-BZ">
    <w:panose1 w:val="02010600010101010101"/>
    <w:charset w:val="86"/>
    <w:family w:val="script"/>
    <w:pitch w:val="default"/>
    <w:sig w:usb0="E00002FF" w:usb1="58CFECFF" w:usb2="05000016" w:usb3="00000008" w:csb0="00040001"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1DEF4E"/>
    <w:multiLevelType w:val="singleLevel"/>
    <w:tmpl w:val="6F1DEF4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3N2QxNmQwNGYyYzM0MjIzYjFjYmU5NmE3YTIyZWYifQ=="/>
  </w:docVars>
  <w:rsids>
    <w:rsidRoot w:val="0DB061DC"/>
    <w:rsid w:val="0DB061DC"/>
    <w:rsid w:val="3D904691"/>
    <w:rsid w:val="6199515B"/>
    <w:rsid w:val="620B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专著表标题"/>
    <w:basedOn w:val="1"/>
    <w:next w:val="1"/>
    <w:qFormat/>
    <w:uiPriority w:val="0"/>
    <w:pPr>
      <w:keepNext/>
      <w:keepLines/>
      <w:adjustRightInd w:val="0"/>
      <w:snapToGrid w:val="0"/>
      <w:spacing w:beforeLines="0" w:afterLines="0" w:line="400" w:lineRule="exact"/>
      <w:ind w:firstLine="105" w:firstLineChars="50"/>
      <w:outlineLvl w:val="6"/>
    </w:pPr>
    <w:rPr>
      <w:rFonts w:hint="eastAsia" w:ascii="黑体" w:hAnsi="黑体" w:eastAsia="黑体" w:cs="Times New Roman"/>
      <w:sz w:val="18"/>
      <w:szCs w:val="18"/>
    </w:rPr>
  </w:style>
  <w:style w:type="paragraph" w:customStyle="1" w:styleId="5">
    <w:name w:val="01中文标题"/>
    <w:basedOn w:val="1"/>
    <w:uiPriority w:val="0"/>
    <w:pPr>
      <w:widowControl/>
      <w:spacing w:after="336" w:line="240" w:lineRule="auto"/>
      <w:jc w:val="center"/>
      <w:textAlignment w:val="baseline"/>
    </w:pPr>
    <w:rPr>
      <w:rFonts w:ascii="NEU-HZ" w:hAnsi="NEU-HZ" w:eastAsia="方正黑体_GBK"/>
      <w:color w:val="000000"/>
      <w:kern w:val="0"/>
      <w:sz w:val="44"/>
      <w:szCs w:val="44"/>
      <w14:ligatures w14:val="none"/>
    </w:rPr>
  </w:style>
  <w:style w:type="paragraph" w:customStyle="1" w:styleId="6">
    <w:name w:val="02中文作者名称"/>
    <w:basedOn w:val="1"/>
    <w:uiPriority w:val="0"/>
    <w:pPr>
      <w:widowControl/>
      <w:spacing w:after="368" w:line="240" w:lineRule="auto"/>
      <w:jc w:val="center"/>
      <w:textAlignment w:val="baseline"/>
    </w:pPr>
    <w:rPr>
      <w:rFonts w:ascii="NEU-BZ" w:hAnsi="NEU-BZ" w:eastAsia="方正仿宋_GBK"/>
      <w:color w:val="000000"/>
      <w:kern w:val="0"/>
      <w:sz w:val="28"/>
      <w:szCs w:val="28"/>
      <w14:ligatures w14:val="none"/>
    </w:rPr>
  </w:style>
  <w:style w:type="paragraph" w:customStyle="1" w:styleId="7">
    <w:name w:val="03中文作者地址"/>
    <w:basedOn w:val="1"/>
    <w:qFormat/>
    <w:uiPriority w:val="0"/>
    <w:pPr>
      <w:widowControl/>
      <w:spacing w:after="0" w:line="240" w:lineRule="auto"/>
      <w:jc w:val="center"/>
      <w:textAlignment w:val="baseline"/>
    </w:pPr>
    <w:rPr>
      <w:rFonts w:ascii="NEU-BZ" w:hAnsi="NEU-BZ" w:eastAsia="方正书宋_GBK"/>
      <w:color w:val="000000"/>
      <w:kern w:val="0"/>
      <w:sz w:val="18"/>
      <w:szCs w:val="18"/>
      <w14:ligatures w14:val="none"/>
    </w:rPr>
  </w:style>
  <w:style w:type="paragraph" w:customStyle="1" w:styleId="8">
    <w:name w:val="41正文"/>
    <w:basedOn w:val="9"/>
    <w:qFormat/>
    <w:uiPriority w:val="0"/>
    <w:pPr>
      <w:ind w:firstLine="200" w:firstLineChars="200"/>
    </w:pPr>
    <w:rPr>
      <w:rFonts w:hint="default"/>
    </w:rPr>
  </w:style>
  <w:style w:type="paragraph" w:customStyle="1" w:styleId="9">
    <w:name w:val="[系统文字]"/>
    <w:qFormat/>
    <w:uiPriority w:val="0"/>
    <w:pPr>
      <w:jc w:val="both"/>
      <w:textAlignment w:val="baseline"/>
    </w:pPr>
    <w:rPr>
      <w:rFonts w:hint="eastAsia" w:ascii="NEU-BZ" w:hAnsi="NEU-BZ" w:eastAsia="方正书宋_GBK" w:cstheme="minorBidi"/>
      <w:color w:val="00000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2492</Words>
  <Characters>7756</Characters>
  <Lines>0</Lines>
  <Paragraphs>0</Paragraphs>
  <TotalTime>2</TotalTime>
  <ScaleCrop>false</ScaleCrop>
  <LinksUpToDate>false</LinksUpToDate>
  <CharactersWithSpaces>8603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2026-04-27T02:33:00Z</dcterms:created>
  <dc:creator>孙艳</dc:creator>
  <cp:lastModifiedBy>孙艳</cp:lastModifiedBy>
  <dcterms:modified xsi:type="dcterms:W3CDTF">2026-04-27T02:41:33Z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D2CC4605E376436E817B0A094034D6CC</vt:lpwstr>
  </property>
</Properties>
</file>